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224" w:lineRule="auto"/>
        <w:ind w:firstLine="59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东建质安〔2022〕8号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37" w:line="276" w:lineRule="auto"/>
        <w:ind w:left="905" w:right="766" w:hanging="44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关于印发《关于加强全市房屋市政工程安全</w:t>
      </w:r>
      <w:r>
        <w:rPr>
          <w:rFonts w:ascii="宋体" w:hAnsi="宋体" w:eastAsia="宋体" w:cs="宋体"/>
          <w:spacing w:val="14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22"/>
          <w:w w:val="105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生产管理的若干措施(试行)》的通知</w:t>
      </w:r>
    </w:p>
    <w:p>
      <w:pPr>
        <w:spacing w:line="402" w:lineRule="auto"/>
        <w:rPr>
          <w:rFonts w:ascii="Arial"/>
          <w:sz w:val="21"/>
        </w:rPr>
      </w:pPr>
    </w:p>
    <w:p>
      <w:pPr>
        <w:spacing w:before="104" w:line="221" w:lineRule="auto"/>
        <w:ind w:firstLine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各园区管委会、镇人民政府(街道办事处)、各有关单位:</w:t>
      </w:r>
    </w:p>
    <w:p>
      <w:pPr>
        <w:spacing w:before="172" w:line="325" w:lineRule="auto"/>
        <w:ind w:left="140" w:right="425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为深入贯彻落实习近平总书记关于安全生产的重要论述和指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示批示精神,按照2022年3月31日全国安全生产电视电话会议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精神以及省市有关工作部署,坚持"两个至上"、立足"两个根本",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牢固树立以人民为中心的发展思想和安全发展理念,在全面贯彻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落实国务院"安全生产十五条硬措施"的基础上,我局结合实际制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定了《关于加强全市房屋市政工程安全生产管理的若干措施(试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2"/>
          <w:szCs w:val="32"/>
        </w:rPr>
        <w:t>行)》,现印发给你们,请认真贯彻落实。</w:t>
      </w:r>
    </w:p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2540</wp:posOffset>
            </wp:positionV>
            <wp:extent cx="1517650" cy="15240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7652" cy="152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339" w:lineRule="auto"/>
        <w:ind w:left="3500" w:leftChars="0" w:right="1348" w:firstLine="50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东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莞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6"/>
          <w:sz w:val="32"/>
          <w:szCs w:val="32"/>
          <w:lang w:val="en-US" w:eastAsia="zh-CN"/>
        </w:rPr>
        <w:t>市 住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房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0"/>
          <w:sz w:val="32"/>
          <w:szCs w:val="32"/>
          <w:lang w:val="en-US" w:eastAsia="zh-CN"/>
        </w:rPr>
        <w:t>和 城 乡 建 设 局</w:t>
      </w:r>
      <w:r>
        <w:rPr>
          <w:rFonts w:hint="eastAsia" w:ascii="仿宋" w:hAnsi="仿宋" w:eastAsia="仿宋" w:cs="仿宋"/>
          <w:spacing w:val="-5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pacing w:val="-5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pacing w:val="-5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pacing w:val="-50"/>
          <w:sz w:val="32"/>
          <w:szCs w:val="32"/>
          <w:lang w:val="en-US" w:eastAsia="zh-CN"/>
        </w:rPr>
        <w:tab/>
      </w:r>
      <w:r>
        <w:rPr>
          <w:rFonts w:ascii="仿宋" w:hAnsi="仿宋" w:eastAsia="仿宋" w:cs="仿宋"/>
          <w:spacing w:val="17"/>
          <w:w w:val="119"/>
          <w:sz w:val="32"/>
          <w:szCs w:val="32"/>
        </w:rPr>
        <w:t>2022年4月</w:t>
      </w:r>
      <w:r>
        <w:rPr>
          <w:rFonts w:hint="eastAsia" w:ascii="仿宋" w:hAnsi="仿宋" w:eastAsia="仿宋" w:cs="仿宋"/>
          <w:spacing w:val="17"/>
          <w:w w:val="119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spacing w:val="17"/>
          <w:w w:val="119"/>
          <w:sz w:val="32"/>
          <w:szCs w:val="32"/>
        </w:rPr>
        <w:t>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5" w:line="222" w:lineRule="auto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抄送:</w:t>
      </w:r>
      <w:r>
        <w:rPr>
          <w:rFonts w:ascii="仿宋" w:hAnsi="仿宋" w:eastAsia="仿宋" w:cs="仿宋"/>
          <w:spacing w:val="1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省住房城乡建设厅,市安委会。</w:t>
      </w:r>
    </w:p>
    <w:p>
      <w:pPr>
        <w:sectPr>
          <w:headerReference r:id="rId5" w:type="default"/>
          <w:footerReference r:id="rId6" w:type="default"/>
          <w:pgSz w:w="11820" w:h="16730"/>
          <w:pgMar w:top="2540" w:right="989" w:bottom="1629" w:left="1289" w:header="1389" w:footer="155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56" w:line="219" w:lineRule="auto"/>
        <w:ind w:firstLine="98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38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关于加强全市房屋市政工程安全生产</w:t>
      </w:r>
    </w:p>
    <w:p>
      <w:pPr>
        <w:spacing w:before="30" w:line="219" w:lineRule="auto"/>
        <w:ind w:firstLine="210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10"/>
          </w14:textOutline>
        </w:rPr>
        <w:t>管理的若千措施(试行)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8" w:line="222" w:lineRule="auto"/>
        <w:ind w:firstLine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一、加强安全生产调查</w:t>
      </w:r>
    </w:p>
    <w:p>
      <w:pPr>
        <w:spacing w:before="170" w:line="317" w:lineRule="auto"/>
        <w:ind w:right="40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成立市住房城乡建设局安全生产调查专责小组,对多次检查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发现存在较大安全隐患、出现重大险情或发生生产安全事故等的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企业(个人)开展倒查追责,提出处理意见。</w:t>
      </w:r>
    </w:p>
    <w:p>
      <w:pPr>
        <w:spacing w:before="1" w:line="220" w:lineRule="auto"/>
        <w:ind w:firstLine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二、落实安全监督责任</w:t>
      </w:r>
    </w:p>
    <w:p>
      <w:pPr>
        <w:spacing w:before="169" w:line="319" w:lineRule="auto"/>
        <w:ind w:right="8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市、园区(镇街)合理统筹质监、安监力量,确保每个项目</w:t>
      </w:r>
      <w:r>
        <w:rPr>
          <w:rFonts w:ascii="仿宋" w:hAns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都落实安全监督责任人,实施项目监督员负责制。将安全生产工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作、事故追责情况纳入住建系统年终考核评价指标,实行综合、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质量安全管理量化评价事项发生生产安全事故一票否决制度,压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实监管责任。</w:t>
      </w:r>
    </w:p>
    <w:p>
      <w:pPr>
        <w:spacing w:before="147" w:line="221" w:lineRule="auto"/>
        <w:ind w:firstLine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三、实施项目关键岗位管理人员打卡制度</w:t>
      </w:r>
    </w:p>
    <w:p>
      <w:pPr>
        <w:spacing w:before="170" w:line="316" w:lineRule="auto"/>
        <w:ind w:right="27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修订完善《东莞市房屋建筑与市政基础设施工程项目关键岗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位管理人员到岗履职实施方案》,实行项目经理、安全员、总监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理工程师、专业监理工程师现场电子打卡,对到岗率不符合规定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的给予省动态(市信用)扣分、重点检查、停工整改、变更项目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管理人员等处理,并按本措施第八条处理。</w:t>
      </w:r>
    </w:p>
    <w:p>
      <w:pPr>
        <w:spacing w:line="220" w:lineRule="auto"/>
        <w:ind w:firstLine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四、实施约谈警示、挂牌督办、通报制度</w:t>
      </w:r>
    </w:p>
    <w:p>
      <w:pPr>
        <w:spacing w:before="162" w:line="314" w:lineRule="auto"/>
        <w:ind w:firstLine="8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(一)对多次发现较大安全隐患、发生重大险情的约谈涉事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企业在莞负责人及分管安全生产负责人,同时实行挂牌督办;</w:t>
      </w:r>
    </w:p>
    <w:p>
      <w:pPr>
        <w:spacing w:line="223" w:lineRule="auto"/>
        <w:ind w:firstLine="8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(二)对发生一般及以上生产安全事故的约谈涉事企业法人,</w:t>
      </w:r>
    </w:p>
    <w:p>
      <w:pPr>
        <w:sectPr>
          <w:headerReference r:id="rId7" w:type="default"/>
          <w:footerReference r:id="rId8" w:type="default"/>
          <w:pgSz w:w="11820" w:h="16760"/>
          <w:pgMar w:top="400" w:right="1439" w:bottom="400" w:left="1390" w:header="0" w:footer="0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7" w:line="596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position w:val="19"/>
          <w:sz w:val="33"/>
          <w:szCs w:val="33"/>
        </w:rPr>
        <w:t>书面通报企业总部和其总部所在地建设行政主管部门,并实行挂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牌督办;</w:t>
      </w:r>
    </w:p>
    <w:p>
      <w:pPr>
        <w:spacing w:before="141" w:line="576" w:lineRule="exact"/>
        <w:ind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position w:val="17"/>
          <w:sz w:val="33"/>
          <w:szCs w:val="33"/>
        </w:rPr>
        <w:t>(三)对发生重大险情及生产安全事故的工地,由市住房城</w:t>
      </w:r>
    </w:p>
    <w:p>
      <w:pPr>
        <w:spacing w:line="219" w:lineRule="auto"/>
        <w:ind w:firstLine="1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乡建设局通报属地园区(镇街)政府主要领导,并在行业内通报。</w:t>
      </w:r>
    </w:p>
    <w:p>
      <w:pPr>
        <w:spacing w:before="158" w:line="222" w:lineRule="auto"/>
        <w:ind w:firstLine="67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五、建立隐患、险情履职追查机制</w:t>
      </w:r>
    </w:p>
    <w:p>
      <w:pPr>
        <w:spacing w:before="154" w:line="321" w:lineRule="auto"/>
        <w:ind w:right="129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存在以下情形之一的,除停工整顿外,对企业和项目相关管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理人员履职情况实行倒查追查,对存在的违法违规行为予以追究,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并顶格从严从重处罚处理。</w:t>
      </w:r>
    </w:p>
    <w:p>
      <w:pPr>
        <w:spacing w:before="1" w:line="314" w:lineRule="auto"/>
        <w:ind w:right="108"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(一)工地安全教育培训不到位、安全保障措施不落实,拒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不整改的;</w:t>
      </w:r>
    </w:p>
    <w:p>
      <w:pPr>
        <w:spacing w:line="223" w:lineRule="auto"/>
        <w:ind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(二)工地安全管理混乱,拒不整改的;</w:t>
      </w:r>
    </w:p>
    <w:p>
      <w:pPr>
        <w:spacing w:before="168" w:line="222" w:lineRule="auto"/>
        <w:ind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(三)多次发现较大安全隐患的;</w:t>
      </w:r>
    </w:p>
    <w:p>
      <w:pPr>
        <w:spacing w:before="177" w:line="223" w:lineRule="auto"/>
        <w:ind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(四)被责令停工拒不停工的;</w:t>
      </w:r>
    </w:p>
    <w:p>
      <w:pPr>
        <w:spacing w:before="170" w:line="222" w:lineRule="auto"/>
        <w:ind w:firstLine="8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(五)发生险情或生产安全事故的。</w:t>
      </w:r>
    </w:p>
    <w:p>
      <w:pPr>
        <w:spacing w:before="148" w:line="221" w:lineRule="auto"/>
        <w:ind w:firstLine="67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六、实施信用分值清零机制</w:t>
      </w:r>
    </w:p>
    <w:p>
      <w:pPr>
        <w:spacing w:before="185" w:line="219" w:lineRule="auto"/>
        <w:ind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存在以下情形之一的,对施工企业实施信用分值清零机制:</w:t>
      </w:r>
    </w:p>
    <w:p>
      <w:pPr>
        <w:spacing w:before="168" w:line="223" w:lineRule="auto"/>
        <w:ind w:firstLine="80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(一)发生一般及以上生产安全事故的</w:t>
      </w:r>
    </w:p>
    <w:p>
      <w:pPr>
        <w:spacing w:before="151" w:line="311" w:lineRule="auto"/>
        <w:ind w:right="127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一年内(一个自然年,下同)发生1起一般生产安全事故的,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信用分值清零一年,到期后恢复有效信用分值的70%;一年内发 </w:t>
      </w:r>
      <w:r>
        <w:rPr>
          <w:rFonts w:ascii="仿宋" w:hAnsi="仿宋" w:eastAsia="仿宋" w:cs="仿宋"/>
          <w:spacing w:val="5"/>
          <w:sz w:val="33"/>
          <w:szCs w:val="33"/>
        </w:rPr>
        <w:t>生2起一般生产安全事故的,或一年内发生1起较大生产安全事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故的,信用分值清零三年,到期后恢复有效的信用分值的30%;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4"/>
          <w:sz w:val="33"/>
          <w:szCs w:val="33"/>
        </w:rPr>
        <w:t>一年内发生3起及以上一般生产安全事故的,或一年内发生2起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及以上较大生产安全事故的,或发生重大及以上生产安全事故的,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信用分值永久清零。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8" w:line="180" w:lineRule="auto"/>
        <w:ind w:firstLine="2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─2</w:t>
      </w:r>
    </w:p>
    <w:p>
      <w:pPr>
        <w:sectPr>
          <w:pgSz w:w="11830" w:h="16730"/>
          <w:pgMar w:top="400" w:right="1344" w:bottom="400" w:left="1419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0" w:line="588" w:lineRule="exact"/>
        <w:ind w:firstLine="77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7"/>
          <w:position w:val="17"/>
          <w:sz w:val="34"/>
          <w:szCs w:val="34"/>
        </w:rPr>
        <w:t>(二)经认定,存在转包、违法分包及挂靠(含施工、监理)</w:t>
      </w:r>
    </w:p>
    <w:p>
      <w:pPr>
        <w:spacing w:before="1" w:line="225" w:lineRule="auto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21"/>
          <w:sz w:val="34"/>
          <w:szCs w:val="34"/>
        </w:rPr>
        <w:t>等违法行为的</w:t>
      </w:r>
    </w:p>
    <w:p>
      <w:pPr>
        <w:spacing w:before="140" w:line="220" w:lineRule="auto"/>
        <w:ind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信用分值清零一年,到期后恢复有效信用分值的70%.</w:t>
      </w:r>
    </w:p>
    <w:p>
      <w:pPr>
        <w:spacing w:before="163" w:line="221" w:lineRule="auto"/>
        <w:ind w:firstLine="63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七、建立企业、个人风险等级评价机制</w:t>
      </w:r>
    </w:p>
    <w:p>
      <w:pPr>
        <w:spacing w:before="145" w:line="308" w:lineRule="auto"/>
        <w:ind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把安全生产管理作为风险等级评价的重要内容,建立企业、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个人风险等级评价机制,向各园区(镇街)、公共资源交易中心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和全社会公告企业、个人风险等级,引导建设、施工、监理等单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位谨慎选用风险企业和聘用风险人员。</w:t>
      </w:r>
    </w:p>
    <w:p>
      <w:pPr>
        <w:spacing w:before="2" w:line="221" w:lineRule="auto"/>
        <w:ind w:firstLine="63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八、提请暂扣安全生产许可证</w:t>
      </w:r>
    </w:p>
    <w:p>
      <w:pPr>
        <w:spacing w:before="130" w:line="581" w:lineRule="exact"/>
        <w:ind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position w:val="17"/>
          <w:sz w:val="34"/>
          <w:szCs w:val="34"/>
        </w:rPr>
        <w:t>存在以下情形之一的,启动企业安全生产条件核查,对核查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不符合安全生产条件的提请发证机关暂扣企业安全生产许可证。</w:t>
      </w:r>
    </w:p>
    <w:p>
      <w:pPr>
        <w:spacing w:before="149" w:line="590" w:lineRule="exact"/>
        <w:ind w:firstLine="7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position w:val="18"/>
          <w:sz w:val="34"/>
          <w:szCs w:val="34"/>
        </w:rPr>
        <w:t>(一)项目管理人员月度到岗率连续3个月或1个自然年内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3"/>
          <w:sz w:val="34"/>
          <w:szCs w:val="34"/>
        </w:rPr>
        <w:t>累计5次低于80%的;</w:t>
      </w:r>
    </w:p>
    <w:p>
      <w:pPr>
        <w:spacing w:before="126" w:line="219" w:lineRule="auto"/>
        <w:ind w:firstLine="7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(二)存在重大安全隐患拒不落实整改的;</w:t>
      </w:r>
    </w:p>
    <w:p>
      <w:pPr>
        <w:spacing w:before="173" w:line="223" w:lineRule="auto"/>
        <w:ind w:firstLine="7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(三)被责令停工拒不停工的;</w:t>
      </w:r>
    </w:p>
    <w:p>
      <w:pPr>
        <w:spacing w:before="155" w:line="221" w:lineRule="auto"/>
        <w:ind w:firstLine="7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(四)因安全生产被行政处罚的;</w:t>
      </w:r>
    </w:p>
    <w:p>
      <w:pPr>
        <w:spacing w:before="167" w:line="223" w:lineRule="auto"/>
        <w:ind w:firstLine="7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(五)发生一般及以上生产安全事故的。</w:t>
      </w:r>
    </w:p>
    <w:p>
      <w:pPr>
        <w:spacing w:before="137" w:line="223" w:lineRule="auto"/>
        <w:ind w:firstLine="63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九、强化安全生产培训教育</w:t>
      </w:r>
    </w:p>
    <w:p>
      <w:pPr>
        <w:spacing w:before="138" w:line="308" w:lineRule="auto"/>
        <w:ind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各有关企业要组织管理人员深入学习习近平总书记关于安全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生产重要论述和指示批示精神以及各类安全生产文件精神,熟悉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掌握安全生产有关要求,做到应知应会。各级建设行政主管部门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采取不限于闭卷考试、现场问答和现场实体抽查等方式进行督导</w:t>
      </w:r>
      <w:r>
        <w:rPr>
          <w:rFonts w:ascii="仿宋" w:hAnsi="仿宋" w:eastAsia="仿宋" w:cs="仿宋"/>
          <w:spacing w:val="2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检查,对未落实有关要求的企业和个人实行动态(信用)扣分;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1"/>
          <w:sz w:val="34"/>
          <w:szCs w:val="34"/>
        </w:rPr>
        <w:t>项目经理、专职安全员、总监理工程师、专业监理工程师等关键</w:t>
      </w:r>
    </w:p>
    <w:p>
      <w:pPr>
        <w:sectPr>
          <w:footerReference r:id="rId9" w:type="default"/>
          <w:pgSz w:w="11740" w:h="16750"/>
          <w:pgMar w:top="400" w:right="1436" w:bottom="1170" w:left="1359" w:header="0" w:footer="989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331" w:lineRule="auto"/>
        <w:ind w:right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岗位管理人员对安全生产文件精神不熟悉、不掌握,现场管理能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力不符合岗位要求的须进行脱岗培训,并记入档案。</w:t>
      </w:r>
    </w:p>
    <w:p>
      <w:pPr>
        <w:spacing w:line="221" w:lineRule="auto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十、加大违法曝光力度</w:t>
      </w:r>
    </w:p>
    <w:p>
      <w:pPr>
        <w:spacing w:before="161" w:line="326" w:lineRule="auto"/>
        <w:ind w:right="136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在市住房城乡建设局官方网站和公众号开通安全生产专栏,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及时通报建设、施工、监理单位(个人)及工程项目安全生产违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法违规行为,同时推送至广东省建筑市场公共服务平台和全国建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筑市场监管公共服务平台公开曝光。</w:t>
      </w:r>
    </w:p>
    <w:p>
      <w:pPr>
        <w:spacing w:before="1" w:line="219" w:lineRule="auto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十一、加强行政执法与刑事司法衔接</w:t>
      </w:r>
    </w:p>
    <w:p>
      <w:pPr>
        <w:spacing w:before="187" w:line="324" w:lineRule="auto"/>
        <w:ind w:right="19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会同应急管理部门、公安部门建立健全生产安全事故案件联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合查处机制,对涉嫌重大责任事故罪、工程重大质量安全事故罪、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强令冒险违章作业罪等移送司法机关处理。</w:t>
      </w:r>
    </w:p>
    <w:p>
      <w:pPr>
        <w:spacing w:before="1" w:line="222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十二、严格监管责任追究</w:t>
      </w:r>
    </w:p>
    <w:p>
      <w:pPr>
        <w:spacing w:before="172" w:line="325" w:lineRule="auto"/>
        <w:ind w:right="117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安全生产调查专责小组在调查过程中发现监管人员存在执行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不力、不作为、乱作为和监管不到位等情形的,提请市纪委监委 </w:t>
      </w:r>
      <w:r>
        <w:rPr>
          <w:rFonts w:ascii="仿宋" w:hAnsi="仿宋" w:eastAsia="仿宋" w:cs="仿宋"/>
          <w:spacing w:val="-7"/>
          <w:sz w:val="32"/>
          <w:szCs w:val="32"/>
        </w:rPr>
        <w:t>驻局纪检监察组按规定严肃追责问责。</w:t>
      </w:r>
    </w:p>
    <w:p>
      <w:pPr>
        <w:spacing w:before="1" w:line="219" w:lineRule="auto"/>
        <w:ind w:firstLine="6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十三、开通安全生产举报热线</w:t>
      </w:r>
    </w:p>
    <w:p>
      <w:pPr>
        <w:spacing w:before="190" w:line="321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开通建筑施工安全生产举报热线(0769-22981323、22677822)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和举报邮箱(dgszij-zak@dg.gov.cn),在项目施工现场公示栏公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布安全生产举报热线和举报邮箱,鼓励项目参建人员、作业工人、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群众举报现场施工安全隐患。属地结合实际可对举报建筑施工安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全生产的企业和个人给予奖赏激励。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180" w:lineRule="auto"/>
        <w:ind w:firstLine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─4─</w:t>
      </w:r>
    </w:p>
    <w:sectPr>
      <w:footerReference r:id="rId10" w:type="default"/>
      <w:pgSz w:w="11780" w:h="16700"/>
      <w:pgMar w:top="400" w:right="1410" w:bottom="400" w:left="13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9" w:lineRule="exact"/>
      <w:textAlignment w:val="center"/>
    </w:pPr>
    <w:r>
      <w:drawing>
        <wp:inline distT="0" distB="0" distL="0" distR="0">
          <wp:extent cx="6051550" cy="5016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1561" cy="50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exact"/>
      <w:ind w:firstLine="8260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position w:val="-3"/>
        <w:sz w:val="26"/>
        <w:szCs w:val="26"/>
      </w:rPr>
      <w:t>─3─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9" w:lineRule="auto"/>
      <w:ind w:firstLine="570"/>
      <w:rPr>
        <w:rFonts w:ascii="宋体" w:hAnsi="宋体" w:eastAsia="宋体" w:cs="宋体"/>
        <w:sz w:val="75"/>
        <w:szCs w:val="75"/>
      </w:rPr>
    </w:pPr>
    <w:r>
      <w:rPr>
        <w:rFonts w:ascii="宋体" w:hAnsi="宋体" w:eastAsia="宋体" w:cs="宋体"/>
        <w:color w:val="FF002A"/>
        <w:spacing w:val="11"/>
        <w:sz w:val="75"/>
        <w:szCs w:val="75"/>
        <w14:textOutline w14:w="13614" w14:cap="flat" w14:cmpd="sng">
          <w14:solidFill>
            <w14:srgbClr w14:val="FF002A"/>
          </w14:solidFill>
          <w14:prstDash w14:val="solid"/>
          <w14:miter w14:val="10"/>
        </w14:textOutline>
      </w:rPr>
      <w:t>东莞市住房和城乡建设局</w:t>
    </w:r>
  </w:p>
  <w:p>
    <w:pPr>
      <w:spacing w:before="179" w:line="80" w:lineRule="exact"/>
      <w:ind w:firstLine="10"/>
      <w:textAlignment w:val="center"/>
    </w:pPr>
    <w:r>
      <w:drawing>
        <wp:inline distT="0" distB="0" distL="0" distR="0">
          <wp:extent cx="6051550" cy="5080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1561" cy="50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B31AD2"/>
    <w:rsid w:val="204F6CA8"/>
    <w:rsid w:val="535D53E0"/>
    <w:rsid w:val="59A71CEC"/>
    <w:rsid w:val="5DA224DB"/>
    <w:rsid w:val="79B13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2022-04-24T14:25:00Z</dcterms:created>
  <dc:creator>Kingsoft-PDF</dc:creator>
  <cp:keywords>6264ed5bb2ef130015724818</cp:keywords>
  <cp:lastModifiedBy>广东裕达建设集团</cp:lastModifiedBy>
  <dcterms:modified xsi:type="dcterms:W3CDTF">2022-04-24T06:30:33Z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2022-04-24T14:25:44Z</vt:filetime>
  </property>
  <property fmtid="{D5CDD505-2E9C-101B-9397-08002B2CF9AE}" pid="4" name="commondata">
    <vt:lpwstr>eyJoZGlkIjoiM2MzYjQ2OTM4YjQ4NzYzYTExNjczZDkwNzI1ODFjZGYifQ==</vt:lpwstr>
  </property>
  <property fmtid="{D5CDD505-2E9C-101B-9397-08002B2CF9AE}" pid="5" name="KSOProductBuildVer">
    <vt:lpwstr>2052-11.1.0.11636</vt:lpwstr>
  </property>
  <property fmtid="{D5CDD505-2E9C-101B-9397-08002B2CF9AE}" pid="6" name="ICV">
    <vt:lpwstr>42AF25459EAC470C8BF4F9E12959C953</vt:lpwstr>
  </property>
</Properties>
</file>